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A20346" w:rsidP="006F70D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  <w:shd w:val="clear" w:color="auto" w:fill="FFFFFF"/>
        </w:rPr>
        <w:drawing>
          <wp:inline distT="0" distB="0" distL="0" distR="0">
            <wp:extent cx="1222872" cy="1180214"/>
            <wp:effectExtent l="19050" t="0" r="0" b="0"/>
            <wp:docPr id="2" name="Picture 1" descr="ha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g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81" cy="117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Pr="009C52E3" w:rsidRDefault="006F70D2" w:rsidP="006F70D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  <w:lang w:val="en-US"/>
        </w:rPr>
      </w:pPr>
      <w:r w:rsidRPr="009C52E3"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  <w:lang w:val="en-US"/>
        </w:rPr>
        <w:t>PROPOSAL KEGIATAN</w:t>
      </w:r>
    </w:p>
    <w:p w:rsidR="006F70D2" w:rsidRPr="009C52E3" w:rsidRDefault="006F70D2" w:rsidP="006F70D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  <w:lang w:val="en-US"/>
        </w:rPr>
      </w:pPr>
      <w:r w:rsidRPr="009C52E3"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  <w:lang w:val="en-US"/>
        </w:rPr>
        <w:t xml:space="preserve">LOKAKARYA </w:t>
      </w:r>
    </w:p>
    <w:p w:rsidR="006F70D2" w:rsidRDefault="006F70D2" w:rsidP="006F70D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52"/>
          <w:szCs w:val="16"/>
          <w:shd w:val="clear" w:color="auto" w:fill="FFFFFF"/>
          <w:lang w:val="en-US"/>
        </w:rPr>
      </w:pPr>
    </w:p>
    <w:p w:rsidR="006F70D2" w:rsidRPr="009C52E3" w:rsidRDefault="006F70D2" w:rsidP="006F70D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9C52E3"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  <w:lang w:val="en-US"/>
        </w:rPr>
        <w:t>PEMANFAATAN DATA GEOFISIKA</w:t>
      </w:r>
    </w:p>
    <w:p w:rsidR="00A20346" w:rsidRPr="009C52E3" w:rsidRDefault="009C52E3" w:rsidP="006F70D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  <w:lang w:val="en-US"/>
        </w:rPr>
      </w:pPr>
      <w:r w:rsidRPr="009C52E3"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  <w:lang w:val="en-US"/>
        </w:rPr>
        <w:t xml:space="preserve">UNTUK PERENCANAAN </w:t>
      </w:r>
      <w:proofErr w:type="gramStart"/>
      <w:r w:rsidRPr="009C52E3"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  <w:lang w:val="en-US"/>
        </w:rPr>
        <w:t xml:space="preserve">PEMBANGUNAN </w:t>
      </w:r>
      <w:r w:rsidR="00A20346" w:rsidRPr="009C52E3">
        <w:rPr>
          <w:rFonts w:ascii="Arial" w:eastAsia="Times New Roman" w:hAnsi="Arial" w:cs="Arial"/>
          <w:color w:val="222222"/>
          <w:sz w:val="48"/>
          <w:szCs w:val="48"/>
          <w:shd w:val="clear" w:color="auto" w:fill="FFFFFF"/>
          <w:lang w:val="en-US"/>
        </w:rPr>
        <w:t xml:space="preserve"> BERKELANJUTAN</w:t>
      </w:r>
      <w:proofErr w:type="gramEnd"/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Default="00A20346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9C52E3" w:rsidRDefault="009C52E3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9C52E3" w:rsidRDefault="009C52E3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9C52E3" w:rsidRDefault="009C52E3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9C52E3" w:rsidRDefault="009C52E3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9C52E3" w:rsidRDefault="009C52E3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A20346" w:rsidRPr="009C52E3" w:rsidRDefault="00A20346" w:rsidP="00A20346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</w:pPr>
      <w:r w:rsidRPr="009C52E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val="en-US"/>
        </w:rPr>
        <w:t>2013</w:t>
      </w:r>
    </w:p>
    <w:p w:rsidR="006F70D2" w:rsidRPr="00201D60" w:rsidRDefault="00A20346" w:rsidP="009C52E3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</w:pPr>
      <w:r w:rsidRPr="00201D60"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  <w:lastRenderedPageBreak/>
        <w:t>KATA PENGANTAR</w:t>
      </w:r>
    </w:p>
    <w:p w:rsidR="00A20346" w:rsidRDefault="00A20346" w:rsidP="009C52E3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A20346" w:rsidRDefault="00A20346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6F70D2" w:rsidRDefault="00A20346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ab/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Sesuai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agenda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Himpunan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Ahli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(HAGI)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tahun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2013,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diselenggarakan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loka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karya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beberapa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komwil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. </w:t>
      </w:r>
      <w:proofErr w:type="spellStart"/>
      <w:proofErr w:type="gram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Topik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diangkat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adalah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“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Pemanfaatan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Data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Untuk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Perencanaan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Berkelanjutan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”.</w:t>
      </w:r>
      <w:proofErr w:type="gram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Topik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dipilih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upaya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HAGI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untuk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berperan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aktif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berkontribusi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pada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rencana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jangka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panjang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yang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telah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dituangkan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dokumen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“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Masterpan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Percepatan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Perluasan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Pembangunan </w:t>
      </w:r>
      <w:proofErr w:type="spellStart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Ekonomi</w:t>
      </w:r>
      <w:proofErr w:type="spell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2011-2025” (MP3EI).</w:t>
      </w:r>
      <w:proofErr w:type="gramEnd"/>
      <w:r w:rsidR="009C52E3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</w:p>
    <w:p w:rsidR="009C52E3" w:rsidRDefault="009C52E3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organisasi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profesi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sangat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diyakini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besarnya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Geofisikawan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beragam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teknologi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metoda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dikuasainya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untuk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mendorong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perluasan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percepatan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Oleh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karena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itu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telah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disusun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sebuah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paket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membahas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umum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data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mendukung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masterplan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atas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implementasinya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pada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beberapa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isu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strategis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serta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bahasan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topik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teknis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dari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berbagai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metodologi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melakukan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safari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beberapa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komwil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diharapkan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tersosialisasikan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berbagai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informasi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penting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seluruh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wilayah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secara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merta</w:t>
      </w:r>
      <w:proofErr w:type="spellEnd"/>
      <w:r w:rsidR="003F59F1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. </w:t>
      </w: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ab/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merupakan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ide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gagasan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baru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memperkuat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serta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HAGI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kancah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Indonesia.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momen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pengingat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menjelang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ulang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tahun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HAGI,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dimulai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bertepan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hari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ulangtahunnya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. </w:t>
      </w:r>
      <w:proofErr w:type="spellStart"/>
      <w:proofErr w:type="gram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</w:t>
      </w: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ami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berharap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sumbangsih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kami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mampu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memberikan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dorongan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signifikan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perkembangan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perluasan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berkelanjutan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Jakarta, 16 September 2013</w:t>
      </w: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Pengurus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Pusat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Himpunan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Ahli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Indonesia.</w:t>
      </w:r>
      <w:proofErr w:type="gramEnd"/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Pr="00201D60" w:rsidRDefault="003F59F1" w:rsidP="003F59F1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</w:pPr>
      <w:r w:rsidRPr="00201D60"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  <w:t>PENDAHULUAN</w:t>
      </w:r>
    </w:p>
    <w:p w:rsidR="003F59F1" w:rsidRDefault="003F59F1" w:rsidP="003F59F1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3F59F1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Adanya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rencana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jangka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panjang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strategi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dituangkan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Masterplan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Percepatan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Perluasan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Pembangunan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Ekonomi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2011-2025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membawa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angin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segar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arah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Indonesia.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Rencana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disusun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cukup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detail,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visioner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menantang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sasaran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capaian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jelas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dapat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menjadi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acuan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seluruh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komponen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bangsa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Indonesia.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Stretegi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sangat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berorientasi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kepada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potensi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daerah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telah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dibagi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6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koridor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22 (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dua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puluh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dua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)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ekonomi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utama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</w:p>
    <w:p w:rsidR="003F59F1" w:rsidRDefault="003F59F1" w:rsidP="003F59F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salah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satu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cabang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ilmu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memiliki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sangat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signifikan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percepatan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perluasan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Indonesia.</w:t>
      </w:r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Strategi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hanya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dapat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dicapai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melalui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kajian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rinci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akurat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terkait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potensi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setiap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daerah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. </w:t>
      </w:r>
      <w:proofErr w:type="spellStart"/>
      <w:proofErr w:type="gram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Oleh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karena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itu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data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sumber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utama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perumusan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kebijakan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menjadi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tulang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punggung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bagi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tepatnya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strategi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diambil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gram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Data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pada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khususnya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dapat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digunakan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untuk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memahami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karakteristik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potensi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setiap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daerah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maupun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kendalanya</w:t>
      </w:r>
      <w:proofErr w:type="spell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  <w:r w:rsidR="001C499B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</w:p>
    <w:p w:rsidR="001C499B" w:rsidRDefault="001C499B" w:rsidP="003F59F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Empat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topik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utama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telah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dipilih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dukungan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utama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data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bidang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Energi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Mineral,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Inventarisasi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Sumberdaya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Alam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/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Pemetaan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Kebencanaan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empat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topik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dipaparkan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kerangka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besar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strategi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yang </w:t>
      </w:r>
      <w:proofErr w:type="spellStart"/>
      <w:r w:rsidR="003D4755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sejal</w:t>
      </w:r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konsep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MP3EI.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demikian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proofErr w:type="gram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mudah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dipetakan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signifikan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data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mendukung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beragam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ekonomi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utama</w:t>
      </w:r>
      <w:proofErr w:type="spellEnd"/>
      <w:r w:rsidR="00F943BC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. </w:t>
      </w:r>
    </w:p>
    <w:p w:rsidR="003F59F1" w:rsidRDefault="003F59F1" w:rsidP="003F59F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3F59F1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6F70D2" w:rsidP="009C52E3">
      <w:pPr>
        <w:spacing w:after="0" w:line="36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3F59F1" w:rsidRDefault="003F59F1" w:rsidP="009C52E3">
      <w:pPr>
        <w:spacing w:after="0" w:line="36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6F70D2" w:rsidRDefault="006F70D2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E81CDC" w:rsidRDefault="00E81CDC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E81CDC" w:rsidRDefault="00E81CDC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E81CDC" w:rsidRPr="00201D60" w:rsidRDefault="00E81CDC" w:rsidP="00E81CDC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</w:pPr>
      <w:r w:rsidRPr="00201D60"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  <w:t>MATERI KEGIATAN</w:t>
      </w:r>
    </w:p>
    <w:p w:rsidR="00E81CDC" w:rsidRDefault="00E81CDC" w:rsidP="00E81CDC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E81CDC" w:rsidRDefault="00E81CDC" w:rsidP="00E81CD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9559D7" w:rsidRDefault="009559D7" w:rsidP="00E81CD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Materi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diberikan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lokakarya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adalah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berikut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:</w:t>
      </w:r>
      <w:proofErr w:type="gramEnd"/>
    </w:p>
    <w:p w:rsidR="009559D7" w:rsidRDefault="009559D7" w:rsidP="00E81CDC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9559D7" w:rsidRDefault="009559D7" w:rsidP="009559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Peran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Data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Geogifisika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dalam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mendukung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perencanaan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kawasan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/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wilayah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sesuai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konsep</w:t>
      </w:r>
      <w:proofErr w:type="spellEnd"/>
      <w:r w:rsidRPr="009559D7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MP3EI.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Pembicara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Kemenko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Perekonomian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/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Bappenas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</w:p>
    <w:p w:rsidR="009559D7" w:rsidRDefault="009559D7" w:rsidP="009559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 w:rsidRPr="009559D7">
        <w:rPr>
          <w:rFonts w:ascii="Arial" w:eastAsia="Times New Roman" w:hAnsi="Arial" w:cs="Arial"/>
          <w:i/>
          <w:color w:val="222222"/>
          <w:sz w:val="24"/>
          <w:szCs w:val="16"/>
          <w:shd w:val="clear" w:color="auto" w:fill="FFFFFF"/>
          <w:lang w:val="en-US"/>
        </w:rPr>
        <w:t xml:space="preserve">“Spatial Dynamic </w:t>
      </w:r>
      <w:proofErr w:type="spellStart"/>
      <w:r w:rsidRPr="009559D7">
        <w:rPr>
          <w:rFonts w:ascii="Arial" w:eastAsia="Times New Roman" w:hAnsi="Arial" w:cs="Arial"/>
          <w:i/>
          <w:color w:val="222222"/>
          <w:sz w:val="24"/>
          <w:szCs w:val="16"/>
          <w:shd w:val="clear" w:color="auto" w:fill="FFFFFF"/>
          <w:lang w:val="en-US"/>
        </w:rPr>
        <w:t>Modelling</w:t>
      </w:r>
      <w:proofErr w:type="spellEnd"/>
      <w:r w:rsidRPr="009559D7">
        <w:rPr>
          <w:rFonts w:ascii="Arial" w:eastAsia="Times New Roman" w:hAnsi="Arial" w:cs="Arial"/>
          <w:i/>
          <w:color w:val="222222"/>
          <w:sz w:val="24"/>
          <w:szCs w:val="16"/>
          <w:shd w:val="clear" w:color="auto" w:fill="FFFFFF"/>
          <w:lang w:val="en-US"/>
        </w:rPr>
        <w:t>”</w:t>
      </w: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sebagai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metoda</w:t>
      </w:r>
      <w:proofErr w:type="spellEnd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untuk</w:t>
      </w:r>
      <w:proofErr w:type="spellEnd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mendisain</w:t>
      </w:r>
      <w:proofErr w:type="spellEnd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strategi</w:t>
      </w:r>
      <w:proofErr w:type="spellEnd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berbasis</w:t>
      </w:r>
      <w:proofErr w:type="spellEnd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keruangan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: BIG</w:t>
      </w:r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(Dr. Yusuf </w:t>
      </w:r>
      <w:proofErr w:type="spell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Surachman</w:t>
      </w:r>
      <w:proofErr w:type="spellEnd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)</w:t>
      </w:r>
      <w:proofErr w:type="gramStart"/>
      <w:r w:rsid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</w:t>
      </w:r>
      <w:proofErr w:type="gramEnd"/>
    </w:p>
    <w:p w:rsidR="009559D7" w:rsidRDefault="00201D60" w:rsidP="009559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Penerapan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Metoda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penyusunan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Basis Data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Kelautan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untuk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sumberdaya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Alam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Kebencanaan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. PPGL, BPPT, LIPI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ITB. </w:t>
      </w:r>
    </w:p>
    <w:p w:rsidR="00201D60" w:rsidRDefault="00201D60" w:rsidP="009559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Implementasi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metoda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Geofisika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untuk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pemetaan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potensi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energi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sumberdaya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mineral.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Kementerian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ESDM. </w:t>
      </w:r>
    </w:p>
    <w:p w:rsidR="00201D60" w:rsidRDefault="00201D60" w:rsidP="009559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Implementasi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teknologi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i/>
          <w:color w:val="222222"/>
          <w:sz w:val="24"/>
          <w:szCs w:val="16"/>
          <w:shd w:val="clear" w:color="auto" w:fill="FFFFFF"/>
          <w:lang w:val="en-US"/>
        </w:rPr>
        <w:t xml:space="preserve">Near Surface Geophysics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bagi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percepatan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perluasan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pembangunan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ekonomi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Indonesia.</w:t>
      </w:r>
    </w:p>
    <w:p w:rsidR="00201D60" w:rsidRDefault="00201D60">
      <w:pP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br w:type="page"/>
      </w:r>
    </w:p>
    <w:p w:rsidR="00E81CDC" w:rsidRDefault="00E81CDC" w:rsidP="006F70D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</w:p>
    <w:p w:rsidR="00201D60" w:rsidRDefault="00201D60" w:rsidP="00201D60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  <w:t>TEMPAT DAN WAKTU PELAKSANAAN</w:t>
      </w:r>
    </w:p>
    <w:p w:rsidR="00201D60" w:rsidRDefault="00201D60" w:rsidP="00201D60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</w:pPr>
    </w:p>
    <w:p w:rsidR="00201D60" w:rsidRDefault="00201D60" w:rsidP="00201D60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  <w:proofErr w:type="spellStart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loka</w:t>
      </w:r>
      <w:proofErr w:type="spellEnd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karya</w:t>
      </w:r>
      <w:proofErr w:type="spellEnd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Pr="00201D60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dilaksanakan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beberapa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komwil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Lokakarya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pertamanya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dilaksanakan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tanggal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9 – </w:t>
      </w:r>
      <w:proofErr w:type="gram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10 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Oktober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bertepatan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hari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ulang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tahun</w:t>
      </w:r>
      <w:proofErr w:type="spellEnd"/>
      <w:r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HAGI.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Rencana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rinci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akan</w:t>
      </w:r>
      <w:proofErr w:type="spellEnd"/>
      <w:proofErr w:type="gram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diinformasikan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kemudian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setelah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dikoordinasikan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dengan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komwil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yang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siap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melaksanakan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kegiatan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ini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.  (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Atau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dibuat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tabel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tentatif</w:t>
      </w:r>
      <w:proofErr w:type="spell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 xml:space="preserve"> ?</w:t>
      </w:r>
      <w:proofErr w:type="gramEnd"/>
      <w:r w:rsidR="007B073E"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  <w:t>).</w:t>
      </w:r>
    </w:p>
    <w:p w:rsidR="007B073E" w:rsidRDefault="007B073E" w:rsidP="00201D60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685"/>
        <w:gridCol w:w="2180"/>
        <w:gridCol w:w="2180"/>
      </w:tblGrid>
      <w:tr w:rsidR="007B073E" w:rsidTr="007B073E">
        <w:tc>
          <w:tcPr>
            <w:tcW w:w="67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No</w:t>
            </w:r>
          </w:p>
        </w:tc>
        <w:tc>
          <w:tcPr>
            <w:tcW w:w="368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KOMWIL</w:t>
            </w: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Tanggal</w:t>
            </w:r>
            <w:proofErr w:type="spellEnd"/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Tempat</w:t>
            </w:r>
            <w:proofErr w:type="spellEnd"/>
          </w:p>
        </w:tc>
      </w:tr>
      <w:tr w:rsidR="007B073E" w:rsidTr="007B073E">
        <w:tc>
          <w:tcPr>
            <w:tcW w:w="67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368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Pusat</w:t>
            </w:r>
            <w:proofErr w:type="spellEnd"/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 xml:space="preserve">9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Oktober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 xml:space="preserve"> 2013</w:t>
            </w: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 xml:space="preserve">Kantor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Sekneg</w:t>
            </w:r>
            <w:proofErr w:type="spellEnd"/>
          </w:p>
        </w:tc>
      </w:tr>
      <w:tr w:rsidR="007B073E" w:rsidTr="007B073E">
        <w:tc>
          <w:tcPr>
            <w:tcW w:w="67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2</w:t>
            </w:r>
          </w:p>
        </w:tc>
        <w:tc>
          <w:tcPr>
            <w:tcW w:w="368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Palu</w:t>
            </w:r>
            <w:proofErr w:type="spellEnd"/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 xml:space="preserve">10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>Oktober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  <w:t xml:space="preserve"> 2013</w:t>
            </w: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</w:tr>
      <w:tr w:rsidR="007B073E" w:rsidTr="007B073E">
        <w:tc>
          <w:tcPr>
            <w:tcW w:w="67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</w:tr>
      <w:tr w:rsidR="007B073E" w:rsidTr="007B073E">
        <w:tc>
          <w:tcPr>
            <w:tcW w:w="67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</w:tr>
      <w:tr w:rsidR="007B073E" w:rsidTr="007B073E">
        <w:tc>
          <w:tcPr>
            <w:tcW w:w="67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</w:tr>
      <w:tr w:rsidR="007B073E" w:rsidTr="007B073E">
        <w:tc>
          <w:tcPr>
            <w:tcW w:w="67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3685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2180" w:type="dxa"/>
          </w:tcPr>
          <w:p w:rsidR="007B073E" w:rsidRDefault="007B073E" w:rsidP="00201D60">
            <w:pPr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16"/>
                <w:shd w:val="clear" w:color="auto" w:fill="FFFFFF"/>
                <w:lang w:val="en-US"/>
              </w:rPr>
            </w:pPr>
          </w:p>
        </w:tc>
      </w:tr>
    </w:tbl>
    <w:p w:rsidR="007B073E" w:rsidRPr="00201D60" w:rsidRDefault="007B073E" w:rsidP="00201D60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16"/>
          <w:shd w:val="clear" w:color="auto" w:fill="FFFFFF"/>
          <w:lang w:val="en-US"/>
        </w:rPr>
      </w:pPr>
    </w:p>
    <w:p w:rsidR="007B073E" w:rsidRDefault="007B073E">
      <w:pP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n-US"/>
        </w:rPr>
        <w:br w:type="page"/>
      </w:r>
    </w:p>
    <w:p w:rsidR="007B073E" w:rsidRDefault="007B073E" w:rsidP="007B073E">
      <w:pPr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color w:val="222222"/>
          <w:sz w:val="28"/>
          <w:szCs w:val="16"/>
          <w:shd w:val="clear" w:color="auto" w:fill="FFFFFF"/>
          <w:lang w:val="en-US"/>
        </w:rPr>
        <w:lastRenderedPageBreak/>
        <w:t>BIAYA PELAKSANAAN</w:t>
      </w:r>
    </w:p>
    <w:sectPr w:rsidR="007B073E" w:rsidSect="00264A5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4793D"/>
    <w:multiLevelType w:val="hybridMultilevel"/>
    <w:tmpl w:val="1C8CB1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F70D2"/>
    <w:rsid w:val="000253F4"/>
    <w:rsid w:val="0010479C"/>
    <w:rsid w:val="001900D2"/>
    <w:rsid w:val="001C1591"/>
    <w:rsid w:val="001C499B"/>
    <w:rsid w:val="00201D60"/>
    <w:rsid w:val="00264A57"/>
    <w:rsid w:val="002905A3"/>
    <w:rsid w:val="002B47AD"/>
    <w:rsid w:val="002F54D8"/>
    <w:rsid w:val="003D4755"/>
    <w:rsid w:val="003E7F80"/>
    <w:rsid w:val="003F59F1"/>
    <w:rsid w:val="00494F17"/>
    <w:rsid w:val="004C66F5"/>
    <w:rsid w:val="00547AA6"/>
    <w:rsid w:val="005A602E"/>
    <w:rsid w:val="005D2D88"/>
    <w:rsid w:val="006461C6"/>
    <w:rsid w:val="006B1254"/>
    <w:rsid w:val="006F70D2"/>
    <w:rsid w:val="007704F5"/>
    <w:rsid w:val="007B073E"/>
    <w:rsid w:val="00826039"/>
    <w:rsid w:val="00937A1F"/>
    <w:rsid w:val="009559D7"/>
    <w:rsid w:val="009C52E3"/>
    <w:rsid w:val="00A20346"/>
    <w:rsid w:val="00C96287"/>
    <w:rsid w:val="00E81CDC"/>
    <w:rsid w:val="00F426F2"/>
    <w:rsid w:val="00F9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70D2"/>
  </w:style>
  <w:style w:type="character" w:customStyle="1" w:styleId="il">
    <w:name w:val="il"/>
    <w:basedOn w:val="DefaultParagraphFont"/>
    <w:rsid w:val="006F70D2"/>
  </w:style>
  <w:style w:type="paragraph" w:styleId="BalloonText">
    <w:name w:val="Balloon Text"/>
    <w:basedOn w:val="Normal"/>
    <w:link w:val="BalloonTextChar"/>
    <w:uiPriority w:val="99"/>
    <w:semiHidden/>
    <w:unhideWhenUsed/>
    <w:rsid w:val="006F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9D7"/>
    <w:pPr>
      <w:ind w:left="720"/>
      <w:contextualSpacing/>
    </w:pPr>
  </w:style>
  <w:style w:type="table" w:styleId="TableGrid">
    <w:name w:val="Table Grid"/>
    <w:basedOn w:val="TableNormal"/>
    <w:uiPriority w:val="59"/>
    <w:rsid w:val="007B0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jica1</dc:creator>
  <cp:lastModifiedBy>jica1</cp:lastModifiedBy>
  <cp:revision>1</cp:revision>
  <dcterms:created xsi:type="dcterms:W3CDTF">2013-09-15T12:44:00Z</dcterms:created>
  <dcterms:modified xsi:type="dcterms:W3CDTF">2013-09-15T14:34:00Z</dcterms:modified>
</cp:coreProperties>
</file>